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A2" w:rsidRPr="00FB2E30" w:rsidRDefault="00C426A2" w:rsidP="00C426A2">
      <w:pPr>
        <w:suppressAutoHyphens w:val="0"/>
        <w:rPr>
          <w:sz w:val="24"/>
          <w:szCs w:val="24"/>
          <w:lang w:eastAsia="ru-RU"/>
        </w:rPr>
      </w:pPr>
      <w:proofErr w:type="gramStart"/>
      <w:r w:rsidRPr="00FB2E30">
        <w:rPr>
          <w:sz w:val="24"/>
          <w:szCs w:val="24"/>
          <w:lang w:eastAsia="ru-RU"/>
        </w:rPr>
        <w:t>направляет материалы для утверждения тарифов на услуги по передаче электрической энергии, оказываемые_</w:t>
      </w:r>
      <w:r>
        <w:rPr>
          <w:sz w:val="24"/>
          <w:szCs w:val="24"/>
          <w:lang w:eastAsia="ru-RU"/>
        </w:rPr>
        <w:t xml:space="preserve"> </w:t>
      </w:r>
      <w:r w:rsidRPr="00FB2E30">
        <w:rPr>
          <w:i/>
          <w:iCs/>
          <w:sz w:val="36"/>
          <w:szCs w:val="36"/>
          <w:u w:val="single"/>
          <w:vertAlign w:val="subscript"/>
          <w:lang w:eastAsia="ru-RU"/>
        </w:rPr>
        <w:t xml:space="preserve">(МУ </w:t>
      </w:r>
      <w:proofErr w:type="spellStart"/>
      <w:r w:rsidRPr="00FB2E30">
        <w:rPr>
          <w:i/>
          <w:iCs/>
          <w:sz w:val="36"/>
          <w:szCs w:val="36"/>
          <w:u w:val="single"/>
          <w:vertAlign w:val="subscript"/>
          <w:lang w:eastAsia="ru-RU"/>
        </w:rPr>
        <w:t>Новоуральский</w:t>
      </w:r>
      <w:proofErr w:type="spellEnd"/>
      <w:r w:rsidRPr="00FB2E30">
        <w:rPr>
          <w:i/>
          <w:iCs/>
          <w:sz w:val="36"/>
          <w:szCs w:val="36"/>
          <w:u w:val="single"/>
          <w:vertAlign w:val="subscript"/>
          <w:lang w:eastAsia="ru-RU"/>
        </w:rPr>
        <w:t xml:space="preserve"> городской округ</w:t>
      </w:r>
      <w:r w:rsidRPr="00FB2E30">
        <w:rPr>
          <w:i/>
          <w:iCs/>
          <w:sz w:val="36"/>
          <w:szCs w:val="36"/>
          <w:u w:val="single"/>
          <w:lang w:eastAsia="ru-RU"/>
        </w:rPr>
        <w:t>,</w:t>
      </w:r>
      <w:r w:rsidRPr="00FB2E30">
        <w:rPr>
          <w:sz w:val="24"/>
          <w:szCs w:val="24"/>
          <w:u w:val="single"/>
          <w:lang w:eastAsia="ru-RU"/>
        </w:rPr>
        <w:t>_</w:t>
      </w:r>
      <w:r>
        <w:rPr>
          <w:sz w:val="24"/>
          <w:szCs w:val="24"/>
          <w:lang w:eastAsia="ru-RU"/>
        </w:rPr>
        <w:t>_______________________</w:t>
      </w:r>
      <w:proofErr w:type="gramEnd"/>
    </w:p>
    <w:p w:rsidR="00C426A2" w:rsidRPr="00FB2E30" w:rsidRDefault="00C426A2" w:rsidP="00C426A2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2014</w:t>
      </w:r>
      <w:r w:rsidRPr="00FB2E30">
        <w:rPr>
          <w:sz w:val="24"/>
          <w:szCs w:val="24"/>
          <w:lang w:eastAsia="ru-RU"/>
        </w:rPr>
        <w:t>г</w:t>
      </w:r>
      <w:r>
        <w:rPr>
          <w:sz w:val="24"/>
          <w:szCs w:val="24"/>
          <w:lang w:eastAsia="ru-RU"/>
        </w:rPr>
        <w:t>-2018г.</w:t>
      </w:r>
      <w:proofErr w:type="gramStart"/>
      <w:r>
        <w:rPr>
          <w:sz w:val="24"/>
          <w:szCs w:val="24"/>
          <w:lang w:eastAsia="ru-RU"/>
        </w:rPr>
        <w:t xml:space="preserve"> </w:t>
      </w:r>
      <w:r w:rsidRPr="00FB2E30">
        <w:rPr>
          <w:sz w:val="24"/>
          <w:szCs w:val="24"/>
          <w:lang w:eastAsia="ru-RU"/>
        </w:rPr>
        <w:t>.</w:t>
      </w:r>
      <w:proofErr w:type="gramEnd"/>
      <w:r w:rsidRPr="00FB2E30">
        <w:rPr>
          <w:sz w:val="24"/>
          <w:szCs w:val="24"/>
          <w:lang w:eastAsia="ru-RU"/>
        </w:rPr>
        <w:t xml:space="preserve"> в следующих размерах (без НДС):</w:t>
      </w:r>
      <w:r>
        <w:rPr>
          <w:sz w:val="24"/>
          <w:szCs w:val="24"/>
          <w:lang w:eastAsia="ru-RU"/>
        </w:rPr>
        <w:t xml:space="preserve"> метод индексации.</w:t>
      </w:r>
    </w:p>
    <w:p w:rsidR="00C426A2" w:rsidRPr="00FB2E30" w:rsidRDefault="00C426A2" w:rsidP="00C426A2">
      <w:pPr>
        <w:suppressAutoHyphens w:val="0"/>
        <w:rPr>
          <w:sz w:val="24"/>
          <w:szCs w:val="24"/>
          <w:lang w:eastAsia="ru-RU"/>
        </w:rPr>
      </w:pPr>
    </w:p>
    <w:tbl>
      <w:tblPr>
        <w:tblW w:w="98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1"/>
        <w:gridCol w:w="1118"/>
        <w:gridCol w:w="3112"/>
        <w:gridCol w:w="2836"/>
        <w:gridCol w:w="2253"/>
      </w:tblGrid>
      <w:tr w:rsidR="00C426A2" w:rsidRPr="00FB2E30" w:rsidTr="00BB31C4">
        <w:trPr>
          <w:tblCellSpacing w:w="0" w:type="dxa"/>
        </w:trPr>
        <w:tc>
          <w:tcPr>
            <w:tcW w:w="3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B2E30">
              <w:rPr>
                <w:lang w:eastAsia="ru-RU"/>
              </w:rPr>
              <w:t>п</w:t>
            </w:r>
            <w:proofErr w:type="spellEnd"/>
            <w:proofErr w:type="gramEnd"/>
            <w:r w:rsidRPr="00FB2E30">
              <w:rPr>
                <w:lang w:eastAsia="ru-RU"/>
              </w:rPr>
              <w:t>/</w:t>
            </w:r>
            <w:proofErr w:type="spellStart"/>
            <w:r w:rsidRPr="00FB2E30">
              <w:rPr>
                <w:lang w:eastAsia="ru-RU"/>
              </w:rPr>
              <w:t>п</w:t>
            </w:r>
            <w:proofErr w:type="spellEnd"/>
          </w:p>
        </w:tc>
        <w:tc>
          <w:tcPr>
            <w:tcW w:w="10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Год</w:t>
            </w:r>
          </w:p>
        </w:tc>
        <w:tc>
          <w:tcPr>
            <w:tcW w:w="55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B2E30">
              <w:rPr>
                <w:lang w:eastAsia="ru-RU"/>
              </w:rPr>
              <w:t>Двухставочный</w:t>
            </w:r>
            <w:proofErr w:type="spellEnd"/>
            <w:r w:rsidRPr="00FB2E30">
              <w:rPr>
                <w:lang w:eastAsia="ru-RU"/>
              </w:rPr>
              <w:t xml:space="preserve"> тариф</w:t>
            </w:r>
          </w:p>
        </w:tc>
        <w:tc>
          <w:tcPr>
            <w:tcW w:w="20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B2E30">
              <w:rPr>
                <w:lang w:eastAsia="ru-RU"/>
              </w:rPr>
              <w:t>Одноставочный</w:t>
            </w:r>
            <w:proofErr w:type="spellEnd"/>
            <w:r w:rsidRPr="00FB2E30">
              <w:rPr>
                <w:lang w:eastAsia="ru-RU"/>
              </w:rPr>
              <w:t xml:space="preserve"> тариф</w:t>
            </w:r>
          </w:p>
        </w:tc>
      </w:tr>
      <w:tr w:rsidR="00C426A2" w:rsidRPr="00FB2E30" w:rsidTr="00BB31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ставка на оплату технологического</w:t>
            </w:r>
          </w:p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расхода (потерь)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C426A2" w:rsidRPr="00FB2E30" w:rsidTr="00BB31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руб./МВт·</w:t>
            </w:r>
            <w:proofErr w:type="spellStart"/>
            <w:proofErr w:type="gramStart"/>
            <w:r w:rsidRPr="00FB2E30">
              <w:rPr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руб./МВт·</w:t>
            </w:r>
            <w:proofErr w:type="gramStart"/>
            <w:r w:rsidRPr="00FB2E30">
              <w:rPr>
                <w:lang w:eastAsia="ru-RU"/>
              </w:rPr>
              <w:t>ч</w:t>
            </w:r>
            <w:proofErr w:type="gramEnd"/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руб./МВт·</w:t>
            </w:r>
            <w:proofErr w:type="gramStart"/>
            <w:r w:rsidRPr="00FB2E30">
              <w:rPr>
                <w:lang w:eastAsia="ru-RU"/>
              </w:rPr>
              <w:t>ч</w:t>
            </w:r>
            <w:proofErr w:type="gramEnd"/>
          </w:p>
        </w:tc>
      </w:tr>
      <w:tr w:rsidR="00C426A2" w:rsidRPr="00FB2E30" w:rsidTr="00BB31C4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2014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334506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259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833</w:t>
            </w:r>
          </w:p>
        </w:tc>
      </w:tr>
      <w:tr w:rsidR="00C426A2" w:rsidRPr="00FB2E30" w:rsidTr="00BB31C4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2015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347961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290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867</w:t>
            </w:r>
          </w:p>
        </w:tc>
      </w:tr>
      <w:tr w:rsidR="00C426A2" w:rsidRPr="00FB2E30" w:rsidTr="00BB31C4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2016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362143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325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902</w:t>
            </w:r>
          </w:p>
        </w:tc>
      </w:tr>
      <w:tr w:rsidR="00C426A2" w:rsidRPr="00FB2E30" w:rsidTr="00BB31C4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2017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377092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364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939</w:t>
            </w:r>
          </w:p>
        </w:tc>
      </w:tr>
      <w:tr w:rsidR="00C426A2" w:rsidRPr="00FB2E30" w:rsidTr="00BB31C4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2018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397454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407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990</w:t>
            </w:r>
          </w:p>
        </w:tc>
      </w:tr>
    </w:tbl>
    <w:p w:rsidR="00C426A2" w:rsidRPr="00FB2E30" w:rsidRDefault="00C426A2" w:rsidP="00C426A2">
      <w:pPr>
        <w:suppressAutoHyphens w:val="0"/>
        <w:jc w:val="center"/>
        <w:rPr>
          <w:sz w:val="24"/>
          <w:szCs w:val="24"/>
          <w:lang w:eastAsia="ru-RU"/>
        </w:rPr>
      </w:pPr>
    </w:p>
    <w:p w:rsidR="00C426A2" w:rsidRPr="00FB2E30" w:rsidRDefault="00C426A2" w:rsidP="00C426A2">
      <w:pPr>
        <w:suppressAutoHyphens w:val="0"/>
        <w:jc w:val="center"/>
        <w:rPr>
          <w:sz w:val="24"/>
          <w:szCs w:val="24"/>
          <w:lang w:eastAsia="ru-RU"/>
        </w:rPr>
      </w:pPr>
      <w:r w:rsidRPr="00FB2E30">
        <w:rPr>
          <w:b/>
          <w:bCs/>
          <w:i/>
          <w:iCs/>
          <w:sz w:val="24"/>
          <w:szCs w:val="24"/>
          <w:lang w:eastAsia="ru-RU"/>
        </w:rPr>
        <w:t>Долгосрочные параметры регулирования</w:t>
      </w:r>
    </w:p>
    <w:p w:rsidR="00C426A2" w:rsidRPr="00FB2E30" w:rsidRDefault="00C426A2" w:rsidP="00C426A2">
      <w:pPr>
        <w:suppressAutoHyphens w:val="0"/>
        <w:jc w:val="center"/>
        <w:rPr>
          <w:sz w:val="24"/>
          <w:szCs w:val="24"/>
          <w:lang w:eastAsia="ru-RU"/>
        </w:rPr>
      </w:pPr>
    </w:p>
    <w:tbl>
      <w:tblPr>
        <w:tblW w:w="97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94"/>
        <w:gridCol w:w="822"/>
        <w:gridCol w:w="2006"/>
        <w:gridCol w:w="2006"/>
        <w:gridCol w:w="2006"/>
        <w:gridCol w:w="2401"/>
      </w:tblGrid>
      <w:tr w:rsidR="00C426A2" w:rsidRPr="00FB2E30" w:rsidTr="00BB31C4">
        <w:trPr>
          <w:tblCellSpacing w:w="0" w:type="dxa"/>
        </w:trPr>
        <w:tc>
          <w:tcPr>
            <w:tcW w:w="3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B2E30">
              <w:rPr>
                <w:lang w:eastAsia="ru-RU"/>
              </w:rPr>
              <w:t>п</w:t>
            </w:r>
            <w:proofErr w:type="spellEnd"/>
            <w:proofErr w:type="gramEnd"/>
            <w:r w:rsidRPr="00FB2E30">
              <w:rPr>
                <w:lang w:eastAsia="ru-RU"/>
              </w:rPr>
              <w:t>/</w:t>
            </w:r>
            <w:proofErr w:type="spellStart"/>
            <w:r w:rsidRPr="00FB2E30">
              <w:rPr>
                <w:lang w:eastAsia="ru-RU"/>
              </w:rPr>
              <w:t>п</w:t>
            </w:r>
            <w:proofErr w:type="spellEnd"/>
          </w:p>
        </w:tc>
        <w:tc>
          <w:tcPr>
            <w:tcW w:w="7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Год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 xml:space="preserve">Базовый уровень </w:t>
            </w:r>
            <w:r w:rsidRPr="00FB2E30">
              <w:rPr>
                <w:lang w:eastAsia="ru-RU"/>
              </w:rPr>
              <w:br/>
              <w:t>подконтрольных</w:t>
            </w:r>
            <w:r w:rsidRPr="00FB2E30">
              <w:rPr>
                <w:lang w:eastAsia="ru-RU"/>
              </w:rPr>
              <w:br/>
              <w:t>расходов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 xml:space="preserve">Индекс </w:t>
            </w:r>
            <w:r w:rsidRPr="00FB2E30">
              <w:rPr>
                <w:lang w:eastAsia="ru-RU"/>
              </w:rPr>
              <w:br/>
              <w:t>эффективности</w:t>
            </w:r>
            <w:r w:rsidRPr="00FB2E30">
              <w:rPr>
                <w:lang w:eastAsia="ru-RU"/>
              </w:rPr>
              <w:br/>
              <w:t>подконтрольных</w:t>
            </w:r>
            <w:r w:rsidRPr="00FB2E30">
              <w:rPr>
                <w:lang w:eastAsia="ru-RU"/>
              </w:rPr>
              <w:br/>
              <w:t>расходов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 xml:space="preserve">Коэффициент </w:t>
            </w:r>
            <w:r w:rsidRPr="00FB2E30">
              <w:rPr>
                <w:lang w:eastAsia="ru-RU"/>
              </w:rPr>
              <w:br/>
              <w:t xml:space="preserve">эластичности </w:t>
            </w:r>
            <w:r w:rsidRPr="00FB2E30">
              <w:rPr>
                <w:lang w:eastAsia="ru-RU"/>
              </w:rPr>
              <w:br/>
              <w:t>подконтрольных</w:t>
            </w:r>
            <w:r w:rsidRPr="00FB2E30">
              <w:rPr>
                <w:lang w:eastAsia="ru-RU"/>
              </w:rPr>
              <w:br/>
              <w:t xml:space="preserve">расходов </w:t>
            </w:r>
            <w:r w:rsidRPr="00FB2E30">
              <w:rPr>
                <w:lang w:eastAsia="ru-RU"/>
              </w:rPr>
              <w:br/>
              <w:t>по количеству</w:t>
            </w:r>
            <w:r w:rsidRPr="00FB2E30">
              <w:rPr>
                <w:lang w:eastAsia="ru-RU"/>
              </w:rPr>
              <w:br/>
              <w:t>активов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Максимальная возможная корректировка необходимой</w:t>
            </w:r>
            <w:r w:rsidRPr="00FB2E30">
              <w:rPr>
                <w:lang w:eastAsia="ru-RU"/>
              </w:rPr>
              <w:br/>
              <w:t xml:space="preserve">валовой выручки, </w:t>
            </w:r>
            <w:r w:rsidRPr="00FB2E30">
              <w:rPr>
                <w:lang w:eastAsia="ru-RU"/>
              </w:rPr>
              <w:br/>
              <w:t>осуществляемая с учетом достижения установленного</w:t>
            </w:r>
            <w:r w:rsidRPr="00FB2E30">
              <w:rPr>
                <w:lang w:eastAsia="ru-RU"/>
              </w:rPr>
              <w:br/>
              <w:t xml:space="preserve">уровня надежности и </w:t>
            </w:r>
            <w:r w:rsidRPr="00FB2E30">
              <w:rPr>
                <w:lang w:eastAsia="ru-RU"/>
              </w:rPr>
              <w:br/>
              <w:t>качества услуг</w:t>
            </w:r>
          </w:p>
        </w:tc>
      </w:tr>
      <w:tr w:rsidR="00C426A2" w:rsidRPr="00FB2E30" w:rsidTr="00BB31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млн. руб.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%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%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%</w:t>
            </w:r>
          </w:p>
        </w:tc>
      </w:tr>
      <w:tr w:rsidR="00C426A2" w:rsidRPr="00FB2E30" w:rsidTr="00BB31C4">
        <w:trPr>
          <w:trHeight w:val="90"/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2014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10,374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0,75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1</w:t>
            </w:r>
          </w:p>
        </w:tc>
      </w:tr>
      <w:tr w:rsidR="00C426A2" w:rsidRPr="00FB2E30" w:rsidTr="00BB31C4">
        <w:trPr>
          <w:trHeight w:val="90"/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2015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10,841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0,75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2</w:t>
            </w:r>
          </w:p>
        </w:tc>
      </w:tr>
      <w:tr w:rsidR="00C426A2" w:rsidRPr="00FB2E30" w:rsidTr="00BB31C4">
        <w:trPr>
          <w:trHeight w:val="90"/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2016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11,330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0,75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2</w:t>
            </w:r>
          </w:p>
        </w:tc>
      </w:tr>
      <w:tr w:rsidR="00C426A2" w:rsidRPr="00FB2E30" w:rsidTr="00BB31C4">
        <w:trPr>
          <w:trHeight w:val="90"/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2017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11,776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0,75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2</w:t>
            </w:r>
          </w:p>
        </w:tc>
      </w:tr>
      <w:tr w:rsidR="00C426A2" w:rsidRPr="00FB2E30" w:rsidTr="00BB31C4">
        <w:trPr>
          <w:trHeight w:val="75"/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2018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12,412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0,75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lang w:eastAsia="ru-RU"/>
              </w:rPr>
              <w:t>2</w:t>
            </w:r>
          </w:p>
        </w:tc>
      </w:tr>
    </w:tbl>
    <w:p w:rsidR="00C426A2" w:rsidRPr="00FB2E30" w:rsidRDefault="00C426A2" w:rsidP="00C426A2">
      <w:pPr>
        <w:suppressAutoHyphens w:val="0"/>
        <w:jc w:val="center"/>
        <w:rPr>
          <w:sz w:val="24"/>
          <w:szCs w:val="24"/>
          <w:lang w:eastAsia="ru-RU"/>
        </w:rPr>
      </w:pPr>
    </w:p>
    <w:p w:rsidR="00C426A2" w:rsidRPr="00FB2E30" w:rsidRDefault="00C426A2" w:rsidP="00C426A2">
      <w:pPr>
        <w:suppressAutoHyphens w:val="0"/>
        <w:jc w:val="center"/>
        <w:rPr>
          <w:sz w:val="24"/>
          <w:szCs w:val="24"/>
          <w:lang w:eastAsia="ru-RU"/>
        </w:rPr>
      </w:pPr>
      <w:r w:rsidRPr="00FB2E30">
        <w:rPr>
          <w:b/>
          <w:bCs/>
          <w:i/>
          <w:iCs/>
          <w:sz w:val="24"/>
          <w:szCs w:val="24"/>
          <w:lang w:eastAsia="ru-RU"/>
        </w:rPr>
        <w:t>Необходимая валовая выручка на долгосрочный период регулирования</w:t>
      </w:r>
    </w:p>
    <w:p w:rsidR="00C426A2" w:rsidRPr="00FB2E30" w:rsidRDefault="00C426A2" w:rsidP="00C426A2">
      <w:pPr>
        <w:suppressAutoHyphens w:val="0"/>
        <w:jc w:val="center"/>
        <w:rPr>
          <w:sz w:val="24"/>
          <w:szCs w:val="24"/>
          <w:lang w:eastAsia="ru-RU"/>
        </w:rPr>
      </w:pPr>
      <w:r w:rsidRPr="00FB2E30">
        <w:rPr>
          <w:b/>
          <w:bCs/>
          <w:i/>
          <w:iCs/>
          <w:sz w:val="24"/>
          <w:szCs w:val="24"/>
          <w:lang w:eastAsia="ru-RU"/>
        </w:rPr>
        <w:t>(без учета оплаты потерь)</w:t>
      </w:r>
    </w:p>
    <w:p w:rsidR="00C426A2" w:rsidRPr="00FB2E30" w:rsidRDefault="00C426A2" w:rsidP="00C426A2">
      <w:pPr>
        <w:suppressAutoHyphens w:val="0"/>
        <w:jc w:val="center"/>
        <w:rPr>
          <w:sz w:val="24"/>
          <w:szCs w:val="24"/>
          <w:lang w:eastAsia="ru-RU"/>
        </w:rPr>
      </w:pPr>
    </w:p>
    <w:tbl>
      <w:tblPr>
        <w:tblW w:w="777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4"/>
        <w:gridCol w:w="1039"/>
        <w:gridCol w:w="6187"/>
      </w:tblGrid>
      <w:tr w:rsidR="00C426A2" w:rsidRPr="00FB2E30" w:rsidTr="00BB31C4">
        <w:trPr>
          <w:tblCellSpacing w:w="0" w:type="dxa"/>
          <w:jc w:val="center"/>
        </w:trPr>
        <w:tc>
          <w:tcPr>
            <w:tcW w:w="5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sz w:val="24"/>
                <w:szCs w:val="24"/>
                <w:lang w:eastAsia="ru-RU"/>
              </w:rPr>
              <w:t xml:space="preserve">№ </w:t>
            </w:r>
            <w:r w:rsidRPr="00FB2E30">
              <w:rPr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B2E30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B2E30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FB2E30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sz w:val="24"/>
                <w:szCs w:val="24"/>
                <w:lang w:eastAsia="ru-RU"/>
              </w:rPr>
              <w:t xml:space="preserve">Необходимая валовая выручка сетевой организации </w:t>
            </w:r>
            <w:r w:rsidRPr="00FB2E30">
              <w:rPr>
                <w:sz w:val="24"/>
                <w:szCs w:val="24"/>
                <w:lang w:eastAsia="ru-RU"/>
              </w:rPr>
              <w:br/>
              <w:t>без учета оплаты потерь</w:t>
            </w:r>
          </w:p>
        </w:tc>
      </w:tr>
      <w:tr w:rsidR="00C426A2" w:rsidRPr="00FB2E30" w:rsidTr="00BB31C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sz w:val="24"/>
                <w:szCs w:val="24"/>
                <w:lang w:eastAsia="ru-RU"/>
              </w:rPr>
              <w:t>тыс. руб.</w:t>
            </w:r>
          </w:p>
        </w:tc>
      </w:tr>
      <w:tr w:rsidR="00C426A2" w:rsidRPr="00FB2E30" w:rsidTr="00BB31C4">
        <w:trPr>
          <w:trHeight w:val="90"/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color w:val="000000"/>
                <w:lang w:eastAsia="ru-RU"/>
              </w:rPr>
              <w:t>12186,73</w:t>
            </w:r>
          </w:p>
        </w:tc>
      </w:tr>
      <w:tr w:rsidR="00C426A2" w:rsidRPr="00FB2E30" w:rsidTr="00BB31C4">
        <w:trPr>
          <w:trHeight w:val="90"/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color w:val="000000"/>
                <w:lang w:eastAsia="ru-RU"/>
              </w:rPr>
              <w:t>12676,94</w:t>
            </w:r>
          </w:p>
        </w:tc>
      </w:tr>
      <w:tr w:rsidR="00C426A2" w:rsidRPr="00FB2E30" w:rsidTr="00BB31C4">
        <w:trPr>
          <w:trHeight w:val="90"/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color w:val="000000"/>
                <w:lang w:eastAsia="ru-RU"/>
              </w:rPr>
              <w:t>13193,62</w:t>
            </w:r>
          </w:p>
        </w:tc>
      </w:tr>
      <w:tr w:rsidR="00C426A2" w:rsidRPr="00FB2E30" w:rsidTr="00BB31C4">
        <w:trPr>
          <w:trHeight w:val="90"/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color w:val="000000"/>
                <w:lang w:eastAsia="ru-RU"/>
              </w:rPr>
              <w:t>13738,21</w:t>
            </w:r>
          </w:p>
        </w:tc>
      </w:tr>
      <w:tr w:rsidR="00C426A2" w:rsidRPr="00FB2E30" w:rsidTr="00BB31C4">
        <w:trPr>
          <w:trHeight w:val="75"/>
          <w:tblCellSpacing w:w="0" w:type="dxa"/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6A2" w:rsidRPr="00FB2E30" w:rsidRDefault="00C426A2" w:rsidP="00BB31C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B2E30">
              <w:rPr>
                <w:color w:val="000000"/>
                <w:lang w:eastAsia="ru-RU"/>
              </w:rPr>
              <w:t>14480,07</w:t>
            </w:r>
          </w:p>
        </w:tc>
      </w:tr>
    </w:tbl>
    <w:p w:rsidR="002803D5" w:rsidRDefault="002803D5"/>
    <w:sectPr w:rsidR="002803D5" w:rsidSect="00C426A2">
      <w:pgSz w:w="11906" w:h="16838"/>
      <w:pgMar w:top="284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426A2"/>
    <w:rsid w:val="002803D5"/>
    <w:rsid w:val="00C4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Nexus</dc:creator>
  <cp:keywords/>
  <dc:description/>
  <cp:lastModifiedBy>Nexus</cp:lastModifiedBy>
  <cp:revision>2</cp:revision>
  <dcterms:created xsi:type="dcterms:W3CDTF">2013-06-13T03:38:00Z</dcterms:created>
  <dcterms:modified xsi:type="dcterms:W3CDTF">2013-06-13T03:41:00Z</dcterms:modified>
</cp:coreProperties>
</file>